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2276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25673935" w14:textId="3AA15822" w:rsidR="00F91264" w:rsidRDefault="00F91264" w:rsidP="00F91264">
      <w:pPr>
        <w:spacing w:line="276" w:lineRule="auto"/>
        <w:jc w:val="both"/>
        <w:rPr>
          <w:rFonts w:ascii="Albertus Extra Bold" w:hAnsi="Albertus Extra Bold"/>
          <w:color w:val="C00000"/>
          <w:sz w:val="26"/>
          <w:szCs w:val="26"/>
        </w:rPr>
      </w:pPr>
    </w:p>
    <w:p w14:paraId="3B7D4878" w14:textId="77777777" w:rsidR="00335E20" w:rsidRDefault="00335E20" w:rsidP="00335E20">
      <w:pPr>
        <w:tabs>
          <w:tab w:val="left" w:pos="3030"/>
        </w:tabs>
        <w:ind w:right="57"/>
        <w:jc w:val="both"/>
        <w:rPr>
          <w:rFonts w:ascii="Antique Olive" w:hAnsi="Antique Olive"/>
          <w:b/>
          <w:bCs/>
          <w:color w:val="F79646" w:themeColor="accent6"/>
          <w:sz w:val="36"/>
          <w:szCs w:val="36"/>
          <w:lang w:val="it-IT"/>
        </w:rPr>
      </w:pPr>
      <w:r>
        <w:rPr>
          <w:rFonts w:ascii="Antique Olive" w:hAnsi="Antique Olive"/>
          <w:b/>
          <w:bCs/>
          <w:color w:val="F79646" w:themeColor="accent6"/>
          <w:sz w:val="36"/>
          <w:szCs w:val="36"/>
          <w:lang w:val="it-IT"/>
        </w:rPr>
        <w:t>I GIOVANI SCOPRONO UN NUOVO MODO DI COMUNICARE</w:t>
      </w:r>
    </w:p>
    <w:p w14:paraId="5051F9B0" w14:textId="77777777" w:rsidR="00335E20" w:rsidRDefault="00335E20" w:rsidP="00335E20">
      <w:pPr>
        <w:tabs>
          <w:tab w:val="left" w:pos="3030"/>
        </w:tabs>
        <w:ind w:right="57"/>
        <w:jc w:val="both"/>
        <w:rPr>
          <w:rFonts w:ascii="Antique Olive" w:hAnsi="Antique Olive"/>
          <w:color w:val="7030A0"/>
          <w:sz w:val="36"/>
          <w:szCs w:val="36"/>
          <w:lang w:val="it-IT"/>
        </w:rPr>
      </w:pPr>
    </w:p>
    <w:p w14:paraId="73E4A376" w14:textId="77777777" w:rsidR="00335E20" w:rsidRDefault="00335E20" w:rsidP="00335E20">
      <w:pPr>
        <w:tabs>
          <w:tab w:val="left" w:pos="3030"/>
        </w:tabs>
        <w:ind w:right="57"/>
        <w:jc w:val="both"/>
        <w:rPr>
          <w:lang w:val="en-AU"/>
        </w:rPr>
      </w:pPr>
      <w:r>
        <w:rPr>
          <w:rFonts w:ascii="Antique Olive" w:hAnsi="Antique Olive"/>
          <w:color w:val="0070C0"/>
          <w:sz w:val="36"/>
          <w:szCs w:val="36"/>
          <w:lang w:val="it-IT"/>
        </w:rPr>
        <w:tab/>
      </w:r>
      <w:r>
        <w:rPr>
          <w:rFonts w:ascii="Antique Olive" w:hAnsi="Antique Olive"/>
          <w:color w:val="FF0000"/>
          <w:sz w:val="36"/>
          <w:szCs w:val="36"/>
          <w:lang w:val="en-AU"/>
        </w:rPr>
        <w:t>CODICI DIGITALI</w:t>
      </w:r>
    </w:p>
    <w:p w14:paraId="255FCD7F" w14:textId="77777777" w:rsidR="00335E20" w:rsidRDefault="00335E20" w:rsidP="00335E20">
      <w:pPr>
        <w:tabs>
          <w:tab w:val="left" w:pos="3030"/>
        </w:tabs>
        <w:ind w:right="57"/>
        <w:jc w:val="both"/>
        <w:rPr>
          <w:lang w:val="en-AU"/>
        </w:rPr>
      </w:pPr>
      <w:r>
        <w:rPr>
          <w:rFonts w:ascii="Antique Olive" w:hAnsi="Antique Olive"/>
          <w:color w:val="7030A0"/>
          <w:sz w:val="36"/>
          <w:szCs w:val="36"/>
          <w:lang w:val="en-AU"/>
        </w:rPr>
        <w:t xml:space="preserve">                 </w:t>
      </w:r>
    </w:p>
    <w:p w14:paraId="675B3CB4" w14:textId="77777777" w:rsidR="00335E20" w:rsidRDefault="00335E20" w:rsidP="00335E20">
      <w:pPr>
        <w:tabs>
          <w:tab w:val="left" w:pos="3030"/>
        </w:tabs>
        <w:ind w:right="57"/>
        <w:jc w:val="both"/>
        <w:rPr>
          <w:lang w:val="en-AU"/>
        </w:rPr>
      </w:pPr>
      <w:r>
        <w:rPr>
          <w:rFonts w:ascii="Antique Olive" w:hAnsi="Antique Olive"/>
          <w:color w:val="7030A0"/>
          <w:sz w:val="36"/>
          <w:szCs w:val="36"/>
          <w:lang w:val="en-AU"/>
        </w:rPr>
        <w:t xml:space="preserve">                                           IL LINGUAGGIO DELL’ARTE</w:t>
      </w:r>
    </w:p>
    <w:p w14:paraId="3234AEBE" w14:textId="77777777" w:rsidR="00335E20" w:rsidRDefault="00335E20" w:rsidP="00335E20">
      <w:pPr>
        <w:tabs>
          <w:tab w:val="left" w:pos="3030"/>
        </w:tabs>
        <w:ind w:right="57"/>
        <w:jc w:val="both"/>
        <w:rPr>
          <w:lang w:val="en-AU"/>
        </w:rPr>
      </w:pPr>
    </w:p>
    <w:p w14:paraId="19F049BA" w14:textId="1DCE1219" w:rsidR="00335E20" w:rsidRDefault="00335E20" w:rsidP="00335E20">
      <w:pPr>
        <w:tabs>
          <w:tab w:val="left" w:pos="3030"/>
        </w:tabs>
        <w:ind w:right="57"/>
        <w:jc w:val="both"/>
        <w:rPr>
          <w:color w:val="0070C0"/>
          <w:lang w:val="it-IT"/>
        </w:rPr>
      </w:pPr>
      <w:r>
        <w:rPr>
          <w:rFonts w:ascii="Antique Olive" w:hAnsi="Antique Olive"/>
          <w:color w:val="C00000"/>
          <w:sz w:val="36"/>
          <w:szCs w:val="36"/>
          <w:lang w:val="en-AU"/>
        </w:rPr>
        <w:t xml:space="preserve">                                                </w:t>
      </w:r>
      <w:r>
        <w:rPr>
          <w:rFonts w:ascii="Antique Olive" w:hAnsi="Antique Olive"/>
          <w:color w:val="0070C0"/>
          <w:sz w:val="36"/>
          <w:szCs w:val="36"/>
          <w:lang w:val="it-IT"/>
        </w:rPr>
        <w:t>LA LOGICA DEI GIOCHI</w:t>
      </w:r>
    </w:p>
    <w:p w14:paraId="0599130A" w14:textId="77777777" w:rsidR="00335E20" w:rsidRPr="00335E20" w:rsidRDefault="00335E20" w:rsidP="00335E20">
      <w:pPr>
        <w:tabs>
          <w:tab w:val="left" w:pos="3030"/>
        </w:tabs>
        <w:ind w:right="57"/>
        <w:jc w:val="both"/>
        <w:rPr>
          <w:color w:val="0070C0"/>
          <w:lang w:val="it-IT"/>
        </w:rPr>
      </w:pPr>
    </w:p>
    <w:p w14:paraId="32493040" w14:textId="77777777" w:rsidR="00335E20" w:rsidRDefault="00335E20" w:rsidP="00335E20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it-IT"/>
        </w:rPr>
      </w:pPr>
    </w:p>
    <w:p w14:paraId="3CCCCC42" w14:textId="77777777" w:rsidR="00335E20" w:rsidRDefault="00335E20" w:rsidP="00335E20">
      <w:pPr>
        <w:tabs>
          <w:tab w:val="left" w:pos="3030"/>
        </w:tabs>
        <w:ind w:right="57"/>
        <w:jc w:val="both"/>
        <w:rPr>
          <w:b/>
          <w:bCs/>
          <w:color w:val="0070C0"/>
          <w:sz w:val="32"/>
          <w:szCs w:val="32"/>
          <w:lang w:val="it-IT"/>
        </w:rPr>
      </w:pPr>
      <w:r>
        <w:rPr>
          <w:rFonts w:ascii="Albertus Medium" w:hAnsi="Albertus Medium"/>
          <w:b/>
          <w:bCs/>
          <w:color w:val="0070C0"/>
          <w:sz w:val="32"/>
          <w:szCs w:val="32"/>
          <w:lang w:val="it-IT"/>
        </w:rPr>
        <w:t>Cari amici!</w:t>
      </w:r>
    </w:p>
    <w:p w14:paraId="17C4E4FC" w14:textId="77777777" w:rsidR="00335E20" w:rsidRDefault="00335E20" w:rsidP="00335E20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</w:p>
    <w:p w14:paraId="77914553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Chiedo a due adolescenti quali attività online preferiscono.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Rispondono immediatamente: ascoltare musica, parlare con gli amici e giocare. Arte, interattività e giochi!  Alcune delle tante attività che fanno parte delle 24 ore della generazione digitale.</w:t>
      </w:r>
    </w:p>
    <w:p w14:paraId="1B1D80AF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Un bambino di 9 anni tiene in mano un cellulare, fissa lo schermo, riconosce immediatamente i simboli delle applicazioni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. Muove rapidamente le mani, tocca il logo dell'applicazione, si muove, cerca l'interattività.  Chiama suo padre e iniziano a giocare.  I giochi fanno parte dell'esercizio mentale e sociale delle nuove generazioni. I giochi facilitano l'interattività. Sono associati alle dinamiche del cervello umano. Il cervello ha la sua logica, il suo modo di riconoscere e codificare i simboli e generare un linguaggio cognitivo ed emotivo. </w:t>
      </w:r>
    </w:p>
    <w:p w14:paraId="55DE730B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CH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CH"/>
        </w:rPr>
        <w:t>Un adolescente di 12 anni scatta una foto di una partita di calcio, la modifica, ci mette un titolo, inserisce un sottofondo musicale, la invia a centinaia di amici in rete.</w:t>
      </w:r>
      <w:r>
        <w:rPr>
          <w:rFonts w:ascii="Albertus Medium" w:hAnsi="Albertus Medium"/>
          <w:color w:val="000000"/>
          <w:sz w:val="28"/>
          <w:szCs w:val="28"/>
          <w:lang w:val="it-CH"/>
        </w:rPr>
        <w:t xml:space="preserve"> Loro mettono “mi piace” alla foto, la condividono, la “socializzano”. Il mondo interattivo offre opportunità di creazione e partecipazione attiva.</w:t>
      </w:r>
    </w:p>
    <w:p w14:paraId="51F0530C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CH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CH"/>
        </w:rPr>
        <w:t>Un diciassettenne fa parte di un gruppo musicale. Suona la chitarra insieme ad altri musicisti</w:t>
      </w:r>
      <w:r>
        <w:rPr>
          <w:rFonts w:ascii="Albertus Medium" w:hAnsi="Albertus Medium"/>
          <w:color w:val="000000"/>
          <w:sz w:val="28"/>
          <w:szCs w:val="28"/>
          <w:lang w:val="it-CH"/>
        </w:rPr>
        <w:t>. Compongono alcune canzoni, fanno arrangiamenti, cantano, registrano e le condividono su Internet e sulle reti sociali. Arti come la musica, la danza, il teatro, la poesia e la pittura fanno parte della grammatica giovanile di oggi.</w:t>
      </w:r>
    </w:p>
    <w:p w14:paraId="0BAEDC56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CH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CH"/>
        </w:rPr>
        <w:lastRenderedPageBreak/>
        <w:t>I bambini e i giovani comunicano attraverso i loro codici digitali associati alle arti.</w:t>
      </w:r>
      <w:r>
        <w:rPr>
          <w:rFonts w:ascii="Albertus Medium" w:hAnsi="Albertus Medium"/>
          <w:color w:val="000000"/>
          <w:sz w:val="28"/>
          <w:szCs w:val="28"/>
          <w:lang w:val="it-CH"/>
        </w:rPr>
        <w:t xml:space="preserve"> La musica ha il suo codice, il suo linguaggio e le sue dinamiche, che favoriscono l'espressione dei sentimenti e delle idee delle persone. Il teatro ha la sua logica, i suoi passi, i ritmi degli attori, i tempi e i momenti di interattività e di collaborazione nel lavoro di gruppo. </w:t>
      </w:r>
    </w:p>
    <w:p w14:paraId="4E479513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CH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CH"/>
        </w:rPr>
        <w:t>Tutte le arti sono linguaggi e grammatiche che permettono alle persone di esprimere ciò che hanno dentro e la loro visione del mondo</w:t>
      </w:r>
      <w:r>
        <w:rPr>
          <w:rFonts w:ascii="Albertus Medium" w:hAnsi="Albertus Medium"/>
          <w:color w:val="000000"/>
          <w:sz w:val="28"/>
          <w:szCs w:val="28"/>
          <w:lang w:val="it-CH"/>
        </w:rPr>
        <w:t xml:space="preserve">. Inoltre, le arti facilitano l'immersione dell'individuo nell'universo della bellezza, dell'immaginazione creativa, del coinvolgimento attivo e della gioia di creare e condividere. </w:t>
      </w:r>
    </w:p>
    <w:p w14:paraId="2B2EDED5" w14:textId="77777777" w:rsidR="00335E20" w:rsidRDefault="00335E20" w:rsidP="00335E20">
      <w:pPr>
        <w:spacing w:after="100" w:line="276" w:lineRule="auto"/>
        <w:jc w:val="both"/>
        <w:rPr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Evangelizzare l'</w:t>
      </w:r>
      <w:r w:rsidRPr="00A863C2">
        <w:rPr>
          <w:rFonts w:ascii="Albertus Medium" w:hAnsi="Albertus Medium"/>
          <w:b/>
          <w:bCs/>
          <w:i/>
          <w:iCs/>
          <w:color w:val="000000"/>
          <w:sz w:val="28"/>
          <w:szCs w:val="28"/>
          <w:lang w:val="it-IT"/>
        </w:rPr>
        <w:t>habitat</w:t>
      </w: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 xml:space="preserve"> digitale richiede uno sguardo molto attento alla forza delle arti e al modo in cui i giovani organizzano ed esprimono i loro valori e il loro impegno verso gli altri e verso i loro gruppi e comunità.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Quando un gruppo giovanile fa un'esperienza di preghiera liturgica, di impegno comunitario e di servizio agli altri, ed esprime questo impegno attraverso l'arte, questo gruppo fa risuonare la sua voce con originalità e un </w:t>
      </w:r>
      <w:r>
        <w:rPr>
          <w:rFonts w:ascii="Albertus Medium" w:hAnsi="Albertus Medium"/>
          <w:i/>
          <w:iCs/>
          <w:color w:val="000000"/>
          <w:sz w:val="28"/>
          <w:szCs w:val="28"/>
          <w:lang w:val="it-IT"/>
        </w:rPr>
        <w:t>appeal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comunicativo nelle reti sociali e su Internet. L'arte diventa così un canale comunicativo per esprimere la vita dei giovani in modo attraente e creativo.</w:t>
      </w:r>
    </w:p>
    <w:p w14:paraId="40275E8E" w14:textId="77777777" w:rsidR="00335E20" w:rsidRDefault="00335E20" w:rsidP="00335E20">
      <w:pPr>
        <w:spacing w:after="100" w:line="276" w:lineRule="auto"/>
        <w:jc w:val="both"/>
        <w:rPr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Il gioco si sta espandendo sempre di più. I giochi educativi fanno parte delle relazioni umane: stare insieme, creare sfide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, incoraggiare la discussione educativa, esprimere sentimenti, stare con gli altri. I giochi toccano l'immaginazione e i sentimenti. Coinvolgono e creano reti di relazioni umane. Favoriscono i momenti di donazione di sé e di collaborazione.  </w:t>
      </w:r>
    </w:p>
    <w:p w14:paraId="41634ADF" w14:textId="77777777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Come parte della sua inventiva educativa, Don Bosco fece uso delle arti, specialmente della musica e del teatro, per educare i suoi giovani a Valdocco.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Sapeva, per esperienza, che le arti e lo sport favoriscono lo sviluppo umano, aprono i giovani alla creatività, facilitano le relazioni umane e contribuiscono significativamente alla vita educativa e spirituale.</w:t>
      </w:r>
    </w:p>
    <w:p w14:paraId="193C2C53" w14:textId="646105F5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>Educare ed evangelizzare l'</w:t>
      </w:r>
      <w:r w:rsidRPr="00A863C2">
        <w:rPr>
          <w:rFonts w:ascii="Albertus Medium" w:hAnsi="Albertus Medium"/>
          <w:b/>
          <w:bCs/>
          <w:i/>
          <w:iCs/>
          <w:color w:val="000000"/>
          <w:sz w:val="28"/>
          <w:szCs w:val="28"/>
          <w:lang w:val="it-IT"/>
        </w:rPr>
        <w:t>habitat</w:t>
      </w:r>
      <w:r w:rsidRPr="00A863C2">
        <w:rPr>
          <w:rFonts w:ascii="Albertus Medium" w:hAnsi="Albertus Medium"/>
          <w:b/>
          <w:bCs/>
          <w:color w:val="000000"/>
          <w:sz w:val="28"/>
          <w:szCs w:val="28"/>
          <w:lang w:val="it-IT"/>
        </w:rPr>
        <w:t xml:space="preserve"> digitale attraverso le arti e i giochi è una grande opportunità</w:t>
      </w: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per tutti noi che crediamo nella gioventù!</w:t>
      </w:r>
    </w:p>
    <w:p w14:paraId="792E8475" w14:textId="089C7165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it-IT"/>
        </w:rPr>
      </w:pPr>
    </w:p>
    <w:p w14:paraId="74B6F0F3" w14:textId="5BFC7727" w:rsidR="00335E20" w:rsidRDefault="00335E20" w:rsidP="00335E20">
      <w:pPr>
        <w:spacing w:after="100" w:line="276" w:lineRule="auto"/>
        <w:jc w:val="both"/>
        <w:rPr>
          <w:lang w:val="it-IT"/>
        </w:rPr>
      </w:pPr>
      <w:r>
        <w:rPr>
          <w:rFonts w:ascii="Albertus Medium" w:hAnsi="Albertus Medium"/>
          <w:color w:val="000000"/>
          <w:sz w:val="28"/>
          <w:szCs w:val="28"/>
          <w:lang w:val="it-IT"/>
        </w:rPr>
        <w:t xml:space="preserve">                                                                                        Roma, 24 giugno 2021</w:t>
      </w:r>
    </w:p>
    <w:p w14:paraId="2B669070" w14:textId="680F40C4" w:rsidR="00335E20" w:rsidRDefault="00335E20" w:rsidP="00335E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en-AU"/>
        </w:rPr>
      </w:pPr>
    </w:p>
    <w:p w14:paraId="77266DC1" w14:textId="2440FC53" w:rsidR="00A863C2" w:rsidRDefault="00335E20" w:rsidP="00A863C2">
      <w:pPr>
        <w:spacing w:after="100" w:line="276" w:lineRule="auto"/>
        <w:jc w:val="both"/>
        <w:rPr>
          <w:lang w:val="en-AU"/>
        </w:rPr>
      </w:pPr>
      <w:r>
        <w:rPr>
          <w:rFonts w:ascii="Albertus Medium" w:hAnsi="Albertus Medium"/>
          <w:color w:val="000000"/>
          <w:sz w:val="28"/>
          <w:szCs w:val="28"/>
          <w:lang w:val="en-AU"/>
        </w:rPr>
        <w:t xml:space="preserve">   </w:t>
      </w:r>
      <w:r w:rsidR="00A863C2">
        <w:rPr>
          <w:rFonts w:ascii="Albertus Medium" w:hAnsi="Albertus Medium"/>
          <w:color w:val="000000"/>
          <w:sz w:val="28"/>
          <w:szCs w:val="28"/>
          <w:lang w:val="en-AU"/>
        </w:rPr>
        <w:t xml:space="preserve">     </w:t>
      </w:r>
      <w:r>
        <w:rPr>
          <w:rFonts w:ascii="Albertus Medium" w:hAnsi="Albertus Medium"/>
          <w:color w:val="000000"/>
          <w:sz w:val="28"/>
          <w:szCs w:val="28"/>
          <w:lang w:val="en-AU"/>
        </w:rPr>
        <w:t>Don Gildasio Mendes</w:t>
      </w:r>
    </w:p>
    <w:p w14:paraId="1DCF703A" w14:textId="4F83321D" w:rsidR="00F91264" w:rsidRPr="00A863C2" w:rsidRDefault="00537657" w:rsidP="00A863C2">
      <w:pPr>
        <w:spacing w:after="100" w:line="276" w:lineRule="auto"/>
        <w:jc w:val="both"/>
        <w:rPr>
          <w:lang w:val="en-AU"/>
        </w:rPr>
      </w:pPr>
      <w:r w:rsidRPr="00335E20">
        <w:rPr>
          <w:rFonts w:ascii="Albertus Extra Bold" w:hAnsi="Albertus Extra Bold"/>
          <w:sz w:val="28"/>
          <w:szCs w:val="28"/>
        </w:rPr>
        <w:t xml:space="preserve">Consigliere Generale per la Comunicazione Sociale </w:t>
      </w:r>
    </w:p>
    <w:p w14:paraId="41847E4F" w14:textId="77777777" w:rsidR="009B43EF" w:rsidRPr="00F91264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sectPr w:rsidR="009B43EF" w:rsidRPr="00F91264">
      <w:footerReference w:type="default" r:id="rId7"/>
      <w:headerReference w:type="first" r:id="rId8"/>
      <w:footerReference w:type="first" r:id="rId9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CA5C" w14:textId="77777777" w:rsidR="000979D3" w:rsidRDefault="000979D3">
      <w:r>
        <w:separator/>
      </w:r>
    </w:p>
  </w:endnote>
  <w:endnote w:type="continuationSeparator" w:id="0">
    <w:p w14:paraId="6B64E930" w14:textId="77777777" w:rsidR="000979D3" w:rsidRDefault="000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684" w14:textId="77777777" w:rsidR="009B43EF" w:rsidRDefault="0052772F">
    <w:pPr>
      <w:pStyle w:val="Pidipagina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6A13A8EF" wp14:editId="0F44B7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FFA06" w14:textId="77777777" w:rsidR="009B43EF" w:rsidRDefault="0052772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618FC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3A8EF" id="Frame1" o:spid="_x0000_s1026" style="position:absolute;margin-left:-46.1pt;margin-top:.05pt;width:5.1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" filled="f" stroked="f">
              <v:textbox style="mso-fit-shape-to-text:t" inset="0,0,0,0">
                <w:txbxContent>
                  <w:p w14:paraId="47DFFA06" w14:textId="77777777" w:rsidR="009B43EF" w:rsidRDefault="0052772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618FC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6296" w14:textId="77777777" w:rsidR="009B43EF" w:rsidRDefault="0052772F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31AC" w14:textId="77777777" w:rsidR="000979D3" w:rsidRDefault="000979D3">
      <w:r>
        <w:separator/>
      </w:r>
    </w:p>
  </w:footnote>
  <w:footnote w:type="continuationSeparator" w:id="0">
    <w:p w14:paraId="44201722" w14:textId="77777777" w:rsidR="000979D3" w:rsidRDefault="0009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9"/>
      <w:gridCol w:w="7549"/>
    </w:tblGrid>
    <w:tr w:rsidR="009B43EF" w14:paraId="103015F8" w14:textId="77777777">
      <w:trPr>
        <w:trHeight w:val="1412"/>
      </w:trPr>
      <w:tc>
        <w:tcPr>
          <w:tcW w:w="1949" w:type="dxa"/>
        </w:tcPr>
        <w:p w14:paraId="77ACE927" w14:textId="77777777" w:rsidR="009B43EF" w:rsidRDefault="0052772F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5A4A6CA2" wp14:editId="743676EA">
                    <wp:simplePos x="0" y="0"/>
                    <wp:positionH relativeFrom="column">
                      <wp:posOffset>875030</wp:posOffset>
                    </wp:positionH>
                    <wp:positionV relativeFrom="paragraph">
                      <wp:posOffset>831850</wp:posOffset>
                    </wp:positionV>
                    <wp:extent cx="5038725" cy="952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20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E02AEA" id="AutoShape 1" o:spid="_x0000_s1026" style="position:absolute;margin-left:68.9pt;margin-top:65.5pt;width:396.75pt;height:.7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87CD6B5" wp14:editId="1845C695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8" w:type="dxa"/>
        </w:tcPr>
        <w:p w14:paraId="3F7976B4" w14:textId="77777777" w:rsidR="009B43EF" w:rsidRDefault="009B43E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1CBA2D8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C330EEF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DD0D830" w14:textId="46CB1DF6" w:rsidR="009B43EF" w:rsidRPr="00F91264" w:rsidRDefault="00811B4B">
          <w:pPr>
            <w:jc w:val="right"/>
            <w:rPr>
              <w:lang w:val="pt-BR"/>
            </w:rPr>
          </w:pPr>
          <w:r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52772F"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 sdb</w:t>
          </w:r>
        </w:p>
        <w:p w14:paraId="5002A2E5" w14:textId="72CE604B" w:rsidR="009B43EF" w:rsidRPr="00F91264" w:rsidRDefault="00811B4B">
          <w:pPr>
            <w:jc w:val="right"/>
            <w:rPr>
              <w:i/>
              <w:iCs/>
              <w:color w:val="663300"/>
              <w:sz w:val="24"/>
              <w:szCs w:val="22"/>
              <w:lang w:val="it-IT"/>
            </w:rPr>
          </w:pPr>
          <w:r w:rsidRPr="00F91264">
            <w:rPr>
              <w:i/>
              <w:iCs/>
              <w:color w:val="663300"/>
              <w:sz w:val="24"/>
              <w:szCs w:val="22"/>
              <w:lang w:val="it-IT"/>
            </w:rPr>
            <w:t>Consigliere Generale per la Comunicazione Sociale</w:t>
          </w:r>
        </w:p>
      </w:tc>
    </w:tr>
  </w:tbl>
  <w:p w14:paraId="1FC7785A" w14:textId="77777777" w:rsidR="009B43EF" w:rsidRDefault="009B4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EF"/>
    <w:rsid w:val="000041AD"/>
    <w:rsid w:val="000618FC"/>
    <w:rsid w:val="000979D3"/>
    <w:rsid w:val="00244D48"/>
    <w:rsid w:val="003210BA"/>
    <w:rsid w:val="00335E20"/>
    <w:rsid w:val="00360B3F"/>
    <w:rsid w:val="003D6D2E"/>
    <w:rsid w:val="004843E8"/>
    <w:rsid w:val="0052772F"/>
    <w:rsid w:val="00537657"/>
    <w:rsid w:val="005C766E"/>
    <w:rsid w:val="005F2ADB"/>
    <w:rsid w:val="0060618E"/>
    <w:rsid w:val="00633CFC"/>
    <w:rsid w:val="006C59F9"/>
    <w:rsid w:val="00736874"/>
    <w:rsid w:val="007A32C3"/>
    <w:rsid w:val="007E6B93"/>
    <w:rsid w:val="00800CAE"/>
    <w:rsid w:val="00811B4B"/>
    <w:rsid w:val="009A39AA"/>
    <w:rsid w:val="009B43EF"/>
    <w:rsid w:val="009D7181"/>
    <w:rsid w:val="00A37956"/>
    <w:rsid w:val="00A62B70"/>
    <w:rsid w:val="00A77210"/>
    <w:rsid w:val="00A863C2"/>
    <w:rsid w:val="00BB27B2"/>
    <w:rsid w:val="00BB27F9"/>
    <w:rsid w:val="00CE075C"/>
    <w:rsid w:val="00E604E1"/>
    <w:rsid w:val="00E96B20"/>
    <w:rsid w:val="00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202"/>
  <w15:docId w15:val="{7D6E241E-B14B-4248-B17A-9B41A95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next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4BAC-9840-42F6-8A9B-4D5E25E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6</cp:revision>
  <cp:lastPrinted>2021-06-25T06:18:00Z</cp:lastPrinted>
  <dcterms:created xsi:type="dcterms:W3CDTF">2021-06-25T06:15:00Z</dcterms:created>
  <dcterms:modified xsi:type="dcterms:W3CDTF">2021-06-26T08:30:00Z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